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990" w:rsidRPr="00DE0990" w:rsidRDefault="00DE0990" w:rsidP="00DE0990">
      <w:pPr>
        <w:spacing w:after="150" w:line="792" w:lineRule="atLeast"/>
        <w:textAlignment w:val="baseline"/>
        <w:outlineLvl w:val="1"/>
        <w:rPr>
          <w:rFonts w:ascii="Arial" w:eastAsia="Times New Roman" w:hAnsi="Arial" w:cs="Arial"/>
          <w:b/>
          <w:bCs/>
          <w:color w:val="222222"/>
          <w:spacing w:val="-30"/>
          <w:sz w:val="72"/>
          <w:szCs w:val="72"/>
        </w:rPr>
      </w:pPr>
      <w:r w:rsidRPr="00DE0990">
        <w:rPr>
          <w:rFonts w:ascii="Arial" w:eastAsia="Times New Roman" w:hAnsi="Arial" w:cs="Arial"/>
          <w:b/>
          <w:bCs/>
          <w:color w:val="222222"/>
          <w:spacing w:val="-30"/>
          <w:sz w:val="72"/>
          <w:szCs w:val="72"/>
        </w:rPr>
        <w:t xml:space="preserve">London Whale – </w:t>
      </w:r>
      <w:proofErr w:type="spellStart"/>
      <w:r w:rsidRPr="00DE0990">
        <w:rPr>
          <w:rFonts w:ascii="Arial" w:eastAsia="Times New Roman" w:hAnsi="Arial" w:cs="Arial"/>
          <w:b/>
          <w:bCs/>
          <w:color w:val="222222"/>
          <w:spacing w:val="-30"/>
          <w:sz w:val="72"/>
          <w:szCs w:val="72"/>
        </w:rPr>
        <w:t>Casestudy</w:t>
      </w:r>
      <w:proofErr w:type="spellEnd"/>
      <w:r w:rsidRPr="00DE0990">
        <w:rPr>
          <w:rFonts w:ascii="Arial" w:eastAsia="Times New Roman" w:hAnsi="Arial" w:cs="Arial"/>
          <w:b/>
          <w:bCs/>
          <w:color w:val="222222"/>
          <w:spacing w:val="-30"/>
          <w:sz w:val="72"/>
          <w:szCs w:val="72"/>
        </w:rPr>
        <w:t xml:space="preserve"> &amp; Timeline</w:t>
      </w:r>
    </w:p>
    <w:p w:rsidR="00DE0990" w:rsidRPr="00DE0990" w:rsidRDefault="00DE0990" w:rsidP="00DE0990">
      <w:pPr>
        <w:spacing w:after="0" w:line="240" w:lineRule="auto"/>
        <w:rPr>
          <w:rFonts w:ascii="Tahoma" w:eastAsia="Times New Roman" w:hAnsi="Tahoma" w:cs="Tahoma"/>
          <w:sz w:val="24"/>
          <w:szCs w:val="24"/>
        </w:rPr>
      </w:pPr>
      <w:r w:rsidRPr="00DE0990">
        <w:rPr>
          <w:rFonts w:ascii="Tahoma" w:eastAsia="Times New Roman" w:hAnsi="Tahoma" w:cs="Tahoma"/>
          <w:sz w:val="24"/>
          <w:szCs w:val="24"/>
        </w:rPr>
        <w:t>APR 19, 2014</w:t>
      </w:r>
      <w:r w:rsidRPr="00DE0990">
        <w:rPr>
          <w:rFonts w:ascii="inherit" w:eastAsia="Times New Roman" w:hAnsi="inherit" w:cs="Arial"/>
          <w:b/>
          <w:bCs/>
          <w:i/>
          <w:iCs/>
          <w:caps/>
          <w:color w:val="BBBBBB"/>
          <w:spacing w:val="15"/>
          <w:sz w:val="17"/>
          <w:szCs w:val="17"/>
          <w:bdr w:val="none" w:sz="0" w:space="0" w:color="auto" w:frame="1"/>
        </w:rPr>
        <w:t>by</w:t>
      </w:r>
      <w:r w:rsidRPr="00DE0990">
        <w:rPr>
          <w:rFonts w:ascii="Arial" w:eastAsia="Times New Roman" w:hAnsi="Arial" w:cs="Arial"/>
          <w:b/>
          <w:bCs/>
          <w:caps/>
          <w:color w:val="BBBBBB"/>
          <w:spacing w:val="15"/>
          <w:sz w:val="17"/>
          <w:szCs w:val="17"/>
          <w:bdr w:val="none" w:sz="0" w:space="0" w:color="auto" w:frame="1"/>
        </w:rPr>
        <w:t> </w:t>
      </w:r>
      <w:hyperlink r:id="rId5" w:history="1">
        <w:r w:rsidRPr="00DE0990">
          <w:rPr>
            <w:rFonts w:ascii="inherit" w:eastAsia="Times New Roman" w:hAnsi="inherit" w:cs="Arial"/>
            <w:b/>
            <w:bCs/>
            <w:caps/>
            <w:color w:val="444444"/>
            <w:spacing w:val="15"/>
            <w:sz w:val="17"/>
            <w:szCs w:val="17"/>
            <w:u w:val="single"/>
            <w:bdr w:val="none" w:sz="0" w:space="0" w:color="auto" w:frame="1"/>
          </w:rPr>
          <w:t>FARHAN</w:t>
        </w:r>
      </w:hyperlink>
      <w:r w:rsidRPr="00DE0990">
        <w:rPr>
          <w:rFonts w:ascii="inherit" w:eastAsia="Times New Roman" w:hAnsi="inherit" w:cs="Arial"/>
          <w:b/>
          <w:bCs/>
          <w:i/>
          <w:iCs/>
          <w:caps/>
          <w:color w:val="BBBBBB"/>
          <w:spacing w:val="15"/>
          <w:sz w:val="17"/>
          <w:szCs w:val="17"/>
          <w:bdr w:val="none" w:sz="0" w:space="0" w:color="auto" w:frame="1"/>
        </w:rPr>
        <w:t>in</w:t>
      </w:r>
      <w:r w:rsidRPr="00DE0990">
        <w:rPr>
          <w:rFonts w:ascii="Arial" w:eastAsia="Times New Roman" w:hAnsi="Arial" w:cs="Arial"/>
          <w:b/>
          <w:bCs/>
          <w:caps/>
          <w:color w:val="BBBBBB"/>
          <w:spacing w:val="15"/>
          <w:sz w:val="17"/>
          <w:szCs w:val="17"/>
          <w:bdr w:val="none" w:sz="0" w:space="0" w:color="auto" w:frame="1"/>
        </w:rPr>
        <w:t> </w:t>
      </w:r>
      <w:hyperlink r:id="rId6" w:tooltip="View all posts in Case Study" w:history="1">
        <w:r w:rsidRPr="00DE0990">
          <w:rPr>
            <w:rFonts w:ascii="inherit" w:eastAsia="Times New Roman" w:hAnsi="inherit" w:cs="Arial"/>
            <w:b/>
            <w:bCs/>
            <w:caps/>
            <w:color w:val="444444"/>
            <w:spacing w:val="15"/>
            <w:sz w:val="17"/>
            <w:szCs w:val="17"/>
            <w:u w:val="single"/>
            <w:bdr w:val="none" w:sz="0" w:space="0" w:color="auto" w:frame="1"/>
          </w:rPr>
          <w:t>CASE STUDY</w:t>
        </w:r>
      </w:hyperlink>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 xml:space="preserve">A Synthetic Credit Portfolio trader, Bruno </w:t>
      </w:r>
      <w:proofErr w:type="spellStart"/>
      <w:r w:rsidRPr="00DE0990">
        <w:rPr>
          <w:rFonts w:ascii="inherit" w:eastAsia="Times New Roman" w:hAnsi="inherit" w:cs="Arial"/>
          <w:color w:val="444444"/>
          <w:sz w:val="24"/>
          <w:szCs w:val="24"/>
        </w:rPr>
        <w:t>Iksil</w:t>
      </w:r>
      <w:proofErr w:type="spellEnd"/>
      <w:r w:rsidRPr="00DE0990">
        <w:rPr>
          <w:rFonts w:ascii="inherit" w:eastAsia="Times New Roman" w:hAnsi="inherit" w:cs="Arial"/>
          <w:color w:val="444444"/>
          <w:sz w:val="24"/>
          <w:szCs w:val="24"/>
        </w:rPr>
        <w:t>, was given the title of the “London Whale” in the April 6, 2012 issue of the Wall Street Journal and Bloomberg. (Hurtado) This case study focuses on the reasons for that article and the series of derivative transactions (involving credit default swaps) which cost JPMorgan Chase &amp; Co. more than $6.2 billion.</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JP Morgan Chase &amp; Co. (an Investment Banking firm)’s Chief Investment Office in London tried to side step capital regulation laws of risk management by fulfilling the bare minimums of regulatory requirements. Traders were given the incentive to score big, so instead of focusing on simplicities, the traders focused on the complexities of derivative markets. Chief Investment Office did everything including misguiding the authorities by placing trust upon untested models which showed less risk (which in turn provided free hand for traders to try to exploit riskier options) and ignoring all the danger signals provided by the stress testing.</w:t>
      </w:r>
    </w:p>
    <w:p w:rsidR="00DE0990" w:rsidRPr="00DE0990" w:rsidRDefault="00DE0990" w:rsidP="00DE0990">
      <w:pPr>
        <w:spacing w:after="300" w:line="546" w:lineRule="atLeast"/>
        <w:textAlignment w:val="baseline"/>
        <w:outlineLvl w:val="2"/>
        <w:rPr>
          <w:rFonts w:ascii="Arial" w:eastAsia="Times New Roman" w:hAnsi="Arial" w:cs="Arial"/>
          <w:color w:val="222222"/>
          <w:spacing w:val="-15"/>
          <w:sz w:val="42"/>
          <w:szCs w:val="42"/>
        </w:rPr>
      </w:pPr>
      <w:r w:rsidRPr="00DE0990">
        <w:rPr>
          <w:rFonts w:ascii="Arial" w:eastAsia="Times New Roman" w:hAnsi="Arial" w:cs="Arial"/>
          <w:b/>
          <w:bCs/>
          <w:color w:val="222222"/>
          <w:spacing w:val="-15"/>
          <w:sz w:val="42"/>
          <w:szCs w:val="42"/>
        </w:rPr>
        <w:t>The Transaction</w:t>
      </w:r>
    </w:p>
    <w:p w:rsidR="00DE0990" w:rsidRPr="00DE0990" w:rsidRDefault="00DE0990" w:rsidP="00DE0990">
      <w:pPr>
        <w:spacing w:after="0" w:line="348" w:lineRule="atLeast"/>
        <w:textAlignment w:val="baseline"/>
        <w:rPr>
          <w:rFonts w:ascii="inherit" w:eastAsia="Times New Roman" w:hAnsi="inherit" w:cs="Arial"/>
          <w:color w:val="444444"/>
          <w:sz w:val="24"/>
          <w:szCs w:val="24"/>
        </w:rPr>
      </w:pPr>
      <w:r>
        <w:rPr>
          <w:rFonts w:ascii="inherit" w:eastAsia="Times New Roman" w:hAnsi="inherit" w:cs="Arial"/>
          <w:noProof/>
          <w:color w:val="DD3333"/>
          <w:sz w:val="24"/>
          <w:szCs w:val="24"/>
        </w:rPr>
        <mc:AlternateContent>
          <mc:Choice Requires="wps">
            <w:drawing>
              <wp:inline distT="0" distB="0" distL="0" distR="0">
                <wp:extent cx="2857500" cy="2857500"/>
                <wp:effectExtent l="0" t="0" r="0" b="0"/>
                <wp:docPr id="2" name="Rectangle 2" descr="jpmorgan-logo">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7500" cy="285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2" o:spid="_x0000_s1026" alt="jpmorgan-logo" href="https://financetrainingcourse.com/education/wp-content/uploads/2014/04/jpmorgan-logo.jpg" style="width:225pt;height:2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" o:button="t" filled="f" stroked="f">
                <v:fill o:detectmouseclick="t"/>
                <o:lock v:ext="edit" aspectratio="t"/>
                <w10:anchorlock/>
              </v:rect>
            </w:pict>
          </mc:Fallback>
        </mc:AlternateConten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 xml:space="preserve">JP Morgan in order to reduce its credit risk established a Synthetic Credit Portfolio managed by a Chief Investment Officer, Ina Drew. Company’s excess cash was needed to be invested in order to meet any future liquidity needs of the company, and the Chief Investment Office’s purpose was to not only invest but to provide the company with acceptable returns on those </w:t>
      </w:r>
      <w:r w:rsidRPr="00DE0990">
        <w:rPr>
          <w:rFonts w:ascii="inherit" w:eastAsia="Times New Roman" w:hAnsi="inherit" w:cs="Arial"/>
          <w:color w:val="444444"/>
          <w:sz w:val="24"/>
          <w:szCs w:val="24"/>
        </w:rPr>
        <w:lastRenderedPageBreak/>
        <w:t>investments. Chief Investment Office in London invested the bulk of excess cash in long credit profile and it was the purpose of the Synthetic Credit Portfolio to provide protection against structural risks during a credit downturn.</w:t>
      </w:r>
    </w:p>
    <w:p w:rsidR="00DE0990" w:rsidRPr="00DE0990" w:rsidRDefault="00DE0990" w:rsidP="00DE0990">
      <w:pPr>
        <w:spacing w:after="300" w:line="546" w:lineRule="atLeast"/>
        <w:textAlignment w:val="baseline"/>
        <w:outlineLvl w:val="2"/>
        <w:rPr>
          <w:rFonts w:ascii="Arial" w:eastAsia="Times New Roman" w:hAnsi="Arial" w:cs="Arial"/>
          <w:color w:val="222222"/>
          <w:spacing w:val="-15"/>
          <w:sz w:val="42"/>
          <w:szCs w:val="42"/>
        </w:rPr>
      </w:pPr>
      <w:r w:rsidRPr="00DE0990">
        <w:rPr>
          <w:rFonts w:ascii="Arial" w:eastAsia="Times New Roman" w:hAnsi="Arial" w:cs="Arial"/>
          <w:b/>
          <w:bCs/>
          <w:color w:val="222222"/>
          <w:spacing w:val="-15"/>
          <w:sz w:val="42"/>
          <w:szCs w:val="42"/>
        </w:rPr>
        <w:t>What lead to the Problem?</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At the end of 2011, the Synthetic Credit Portfolio controlled approximately $51 billion in net notional positions of credit index and tranche position (as shown in figure 1) which contained sizeable long and short positions. During the final few days of 2011 the Chief Investment Office decided that in order to meet the regulatory requirements, the company should reduce the Risk Weighted assets in the portfolio.</w:t>
      </w:r>
      <w:r w:rsidRPr="00DE0990">
        <w:rPr>
          <w:rFonts w:ascii="inherit" w:eastAsia="Times New Roman" w:hAnsi="inherit" w:cs="Arial"/>
          <w:color w:val="444444"/>
          <w:sz w:val="24"/>
          <w:szCs w:val="24"/>
        </w:rPr>
        <w:br/>
      </w:r>
      <w:r>
        <w:rPr>
          <w:rFonts w:ascii="inherit" w:eastAsia="Times New Roman" w:hAnsi="inherit" w:cs="Arial"/>
          <w:noProof/>
          <w:color w:val="444444"/>
          <w:sz w:val="24"/>
          <w:szCs w:val="24"/>
        </w:rPr>
        <mc:AlternateContent>
          <mc:Choice Requires="wps">
            <w:drawing>
              <wp:inline distT="0" distB="0" distL="0" distR="0">
                <wp:extent cx="5429250" cy="3571875"/>
                <wp:effectExtent l="0" t="0" r="0" b="0"/>
                <wp:docPr id="1" name="Rectangle 1" descr="https://financetrainingcourse.com/education/wp-content/uploads/2014/04/london-whale-chart.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29250" cy="3571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ctangle 1" o:spid="_x0000_s1026" alt="https://financetrainingcourse.com/education/wp-content/uploads/2014/04/london-whale-chart.png" style="width:427.5pt;height:2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" filled="f" stroked="f">
                <o:lock v:ext="edit" aspectratio="t"/>
                <w10:anchorlock/>
              </v:rect>
            </w:pict>
          </mc:Fallback>
        </mc:AlternateConten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(Hurtado)</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The simplest and fastest way to cut risk was to sell positions but it would have had cost them $516 million. Under Drew’s direction, the London traders embarked, instead, on a strategy to reduce the appearance of risk for regulatory purposes. They also hedged investments with securities that moved in the opposite direction. The London-based traders amassed a large, complex financial portfolio (consisting significantly of Credit Default Swaps) in the hope that doing so would help the bank avoid the loss.</w:t>
      </w:r>
    </w:p>
    <w:p w:rsidR="00DE0990" w:rsidRPr="00DE0990" w:rsidRDefault="00DE0990" w:rsidP="00DE0990">
      <w:pPr>
        <w:spacing w:after="300" w:line="546" w:lineRule="atLeast"/>
        <w:textAlignment w:val="baseline"/>
        <w:outlineLvl w:val="2"/>
        <w:rPr>
          <w:rFonts w:ascii="Arial" w:eastAsia="Times New Roman" w:hAnsi="Arial" w:cs="Arial"/>
          <w:color w:val="222222"/>
          <w:spacing w:val="-15"/>
          <w:sz w:val="42"/>
          <w:szCs w:val="42"/>
        </w:rPr>
      </w:pPr>
      <w:r w:rsidRPr="00DE0990">
        <w:rPr>
          <w:rFonts w:ascii="Arial" w:eastAsia="Times New Roman" w:hAnsi="Arial" w:cs="Arial"/>
          <w:b/>
          <w:bCs/>
          <w:color w:val="222222"/>
          <w:spacing w:val="-15"/>
          <w:sz w:val="42"/>
          <w:szCs w:val="42"/>
        </w:rPr>
        <w:lastRenderedPageBreak/>
        <w:t>The Timeline of Events</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 xml:space="preserve">The traders started to substantially increase their investment-grade long positions. By the end of January, the firm marched to a year-to-date, mark-to-market losses of about $100 million. Additionally, the bank began using a new formula for value at risk that cut Mr. </w:t>
      </w:r>
      <w:proofErr w:type="spellStart"/>
      <w:r w:rsidRPr="00DE0990">
        <w:rPr>
          <w:rFonts w:ascii="inherit" w:eastAsia="Times New Roman" w:hAnsi="inherit" w:cs="Arial"/>
          <w:color w:val="444444"/>
          <w:sz w:val="24"/>
          <w:szCs w:val="24"/>
        </w:rPr>
        <w:t>Iksil’s</w:t>
      </w:r>
      <w:proofErr w:type="spellEnd"/>
      <w:r w:rsidRPr="00DE0990">
        <w:rPr>
          <w:rFonts w:ascii="inherit" w:eastAsia="Times New Roman" w:hAnsi="inherit" w:cs="Arial"/>
          <w:color w:val="444444"/>
          <w:sz w:val="24"/>
          <w:szCs w:val="24"/>
        </w:rPr>
        <w:t xml:space="preserve"> (firm’s star trader) estimated losses by about half. The bank eventually conceded that the new </w:t>
      </w:r>
      <w:proofErr w:type="spellStart"/>
      <w:r w:rsidRPr="00DE0990">
        <w:rPr>
          <w:rFonts w:ascii="inherit" w:eastAsia="Times New Roman" w:hAnsi="inherit" w:cs="Arial"/>
          <w:color w:val="444444"/>
          <w:sz w:val="24"/>
          <w:szCs w:val="24"/>
        </w:rPr>
        <w:t>VaR</w:t>
      </w:r>
      <w:proofErr w:type="spellEnd"/>
      <w:r w:rsidRPr="00DE0990">
        <w:rPr>
          <w:rFonts w:ascii="inherit" w:eastAsia="Times New Roman" w:hAnsi="inherit" w:cs="Arial"/>
          <w:color w:val="444444"/>
          <w:sz w:val="24"/>
          <w:szCs w:val="24"/>
        </w:rPr>
        <w:t xml:space="preserve"> standard was seriously flawed (JP Morgan), but not before the change emboldened traders to increase the size of the London Whale bet, which resulted in doubling down after a loss with bigger and bigger bets; eventually leading to even greater losses.</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The above scenario simply shows that while JPMorgan has a reputation for best-in-class risk management, “the Whale trades exposed a bank culture in which risk limit breaches were routinely disregarded, risk metrics were frequently criticized or downplayed, and risk evaluation models were targeted by bank personnel seeking to produce artificially lower capital requirements.” (Golden Age of Gaia)</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Traders continued to add to the investment-grade long positions. The traders’ bets became riskier and bets weren’t directly hedging other investments on the bank’s balance sheet. That resulted in the mark-to-market losses to grow to $169 million by the end of February 2012.</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By March 23, 2012 the traders had added significant long positions to the Synthetic Credit Portfolio; after assessing the situation, the Chief Investment Officer ordered the suspension of trading in the portfolio. Even after that the estimated mark-to-market losses continued to grow throughout the end of March and the year-to-date losses reported by the traders totaled at about $400 million through March 29, 2012.</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However, on March 30, 2012, the estimation of mark-to-market loss was at $138 million only. That was later confirmed as a deception done by Mr. Martin-</w:t>
      </w:r>
      <w:proofErr w:type="spellStart"/>
      <w:r w:rsidRPr="00DE0990">
        <w:rPr>
          <w:rFonts w:ascii="inherit" w:eastAsia="Times New Roman" w:hAnsi="inherit" w:cs="Arial"/>
          <w:color w:val="444444"/>
          <w:sz w:val="24"/>
          <w:szCs w:val="24"/>
        </w:rPr>
        <w:t>Artajo</w:t>
      </w:r>
      <w:proofErr w:type="spellEnd"/>
      <w:r w:rsidRPr="00DE0990">
        <w:rPr>
          <w:rFonts w:ascii="inherit" w:eastAsia="Times New Roman" w:hAnsi="inherit" w:cs="Arial"/>
          <w:color w:val="444444"/>
          <w:sz w:val="24"/>
          <w:szCs w:val="24"/>
        </w:rPr>
        <w:t xml:space="preserve">, who directed Mr. </w:t>
      </w:r>
      <w:proofErr w:type="spellStart"/>
      <w:r w:rsidRPr="00DE0990">
        <w:rPr>
          <w:rFonts w:ascii="inherit" w:eastAsia="Times New Roman" w:hAnsi="inherit" w:cs="Arial"/>
          <w:color w:val="444444"/>
          <w:sz w:val="24"/>
          <w:szCs w:val="24"/>
        </w:rPr>
        <w:t>Iksil</w:t>
      </w:r>
      <w:proofErr w:type="spellEnd"/>
      <w:r w:rsidRPr="00DE0990">
        <w:rPr>
          <w:rFonts w:ascii="inherit" w:eastAsia="Times New Roman" w:hAnsi="inherit" w:cs="Arial"/>
          <w:color w:val="444444"/>
          <w:sz w:val="24"/>
          <w:szCs w:val="24"/>
        </w:rPr>
        <w:t xml:space="preserve"> to use the “best” possible prices. A separate spread sheet was still kept by Mr. </w:t>
      </w:r>
      <w:proofErr w:type="spellStart"/>
      <w:r w:rsidRPr="00DE0990">
        <w:rPr>
          <w:rFonts w:ascii="inherit" w:eastAsia="Times New Roman" w:hAnsi="inherit" w:cs="Arial"/>
          <w:color w:val="444444"/>
          <w:sz w:val="24"/>
          <w:szCs w:val="24"/>
        </w:rPr>
        <w:t>Iksil</w:t>
      </w:r>
      <w:proofErr w:type="spellEnd"/>
      <w:r w:rsidRPr="00DE0990">
        <w:rPr>
          <w:rFonts w:ascii="inherit" w:eastAsia="Times New Roman" w:hAnsi="inherit" w:cs="Arial"/>
          <w:color w:val="444444"/>
          <w:sz w:val="24"/>
          <w:szCs w:val="24"/>
        </w:rPr>
        <w:t xml:space="preserve"> which showed the estimate losses at over $400 million.</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The Chief Investment Officer on April 5, 2012 sent an e-mail to the JP Morgan Operating Committee making them aware of an article which would be published in the </w:t>
      </w:r>
      <w:r w:rsidRPr="00DE0990">
        <w:rPr>
          <w:rFonts w:ascii="inherit" w:eastAsia="Times New Roman" w:hAnsi="inherit" w:cs="Arial"/>
          <w:i/>
          <w:iCs/>
          <w:color w:val="444444"/>
          <w:sz w:val="24"/>
          <w:szCs w:val="24"/>
        </w:rPr>
        <w:t>Wall Street Journal </w:t>
      </w:r>
      <w:r w:rsidRPr="00DE0990">
        <w:rPr>
          <w:rFonts w:ascii="inherit" w:eastAsia="Times New Roman" w:hAnsi="inherit" w:cs="Arial"/>
          <w:color w:val="444444"/>
          <w:sz w:val="24"/>
          <w:szCs w:val="24"/>
        </w:rPr>
        <w:t xml:space="preserve">and Bloomberg. Chief Investment Officer also assured them that the situation was under control, and that the Synthetic Credit Portfolio was generally “balanced,” that the market was currently dislocated, and that the mark-to-market losses were temporary and manageable. That prompted Mr. </w:t>
      </w:r>
      <w:proofErr w:type="spellStart"/>
      <w:r w:rsidRPr="00DE0990">
        <w:rPr>
          <w:rFonts w:ascii="inherit" w:eastAsia="Times New Roman" w:hAnsi="inherit" w:cs="Arial"/>
          <w:color w:val="444444"/>
          <w:sz w:val="24"/>
          <w:szCs w:val="24"/>
        </w:rPr>
        <w:t>Dimon</w:t>
      </w:r>
      <w:proofErr w:type="spellEnd"/>
      <w:r w:rsidRPr="00DE0990">
        <w:rPr>
          <w:rFonts w:ascii="inherit" w:eastAsia="Times New Roman" w:hAnsi="inherit" w:cs="Arial"/>
          <w:color w:val="444444"/>
          <w:sz w:val="24"/>
          <w:szCs w:val="24"/>
        </w:rPr>
        <w:t xml:space="preserve">, the company’s CEO to declare the Synthetic Credit </w:t>
      </w:r>
      <w:r w:rsidRPr="00DE0990">
        <w:rPr>
          <w:rFonts w:ascii="inherit" w:eastAsia="Times New Roman" w:hAnsi="inherit" w:cs="Arial"/>
          <w:color w:val="444444"/>
          <w:sz w:val="24"/>
          <w:szCs w:val="24"/>
        </w:rPr>
        <w:lastRenderedPageBreak/>
        <w:t xml:space="preserve">Portfolio a “tempest in a teapot” and Mr. </w:t>
      </w:r>
      <w:proofErr w:type="spellStart"/>
      <w:r w:rsidRPr="00DE0990">
        <w:rPr>
          <w:rFonts w:ascii="inherit" w:eastAsia="Times New Roman" w:hAnsi="inherit" w:cs="Arial"/>
          <w:color w:val="444444"/>
          <w:sz w:val="24"/>
          <w:szCs w:val="24"/>
        </w:rPr>
        <w:t>Braunstein</w:t>
      </w:r>
      <w:proofErr w:type="spellEnd"/>
      <w:r w:rsidRPr="00DE0990">
        <w:rPr>
          <w:rFonts w:ascii="inherit" w:eastAsia="Times New Roman" w:hAnsi="inherit" w:cs="Arial"/>
          <w:color w:val="444444"/>
          <w:sz w:val="24"/>
          <w:szCs w:val="24"/>
        </w:rPr>
        <w:t xml:space="preserve"> (Chief Financial Officer) to further state that the Firm was “very comfortable” with its positions as mark-to-market prices in the Synthetic Credit Portfolio would “mean revert” (</w:t>
      </w:r>
      <w:proofErr w:type="spellStart"/>
      <w:r w:rsidRPr="00DE0990">
        <w:rPr>
          <w:rFonts w:ascii="inherit" w:eastAsia="Times New Roman" w:hAnsi="inherit" w:cs="Arial"/>
          <w:color w:val="444444"/>
          <w:sz w:val="24"/>
          <w:szCs w:val="24"/>
        </w:rPr>
        <w:t>Kopecki</w:t>
      </w:r>
      <w:proofErr w:type="spellEnd"/>
      <w:r w:rsidRPr="00DE0990">
        <w:rPr>
          <w:rFonts w:ascii="inherit" w:eastAsia="Times New Roman" w:hAnsi="inherit" w:cs="Arial"/>
          <w:color w:val="444444"/>
          <w:sz w:val="24"/>
          <w:szCs w:val="24"/>
        </w:rPr>
        <w:t xml:space="preserve"> ).</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It was further revealed that on the evening of April 7, 2012, Mr. Grout formulated a loss estimate by constructing numerous loss scenarios. He evaluated how those scenarios would impact the Synthetic Credit Portfolio’s positions. In that way, he generated a number of probability-weighted profit-and-loss estimates for the second quarter; the estimates ranged from losses of $750 million to gains of $1.925 billion. However, the Mr. Martin-</w:t>
      </w:r>
      <w:proofErr w:type="spellStart"/>
      <w:r w:rsidRPr="00DE0990">
        <w:rPr>
          <w:rFonts w:ascii="inherit" w:eastAsia="Times New Roman" w:hAnsi="inherit" w:cs="Arial"/>
          <w:color w:val="444444"/>
          <w:sz w:val="24"/>
          <w:szCs w:val="24"/>
        </w:rPr>
        <w:t>Artajo</w:t>
      </w:r>
      <w:proofErr w:type="spellEnd"/>
      <w:r w:rsidRPr="00DE0990">
        <w:rPr>
          <w:rFonts w:ascii="inherit" w:eastAsia="Times New Roman" w:hAnsi="inherit" w:cs="Arial"/>
          <w:color w:val="444444"/>
          <w:sz w:val="24"/>
          <w:szCs w:val="24"/>
        </w:rPr>
        <w:t xml:space="preserve"> felt these scenarios were very unrealistic and thus directed that trader to simply run a “Monte Carlo” simulation to determine the potential losses for the second quarter, against Mr. Grout’s recommendation. Nevertheless he performed the requested analysis, and came to a loss estimate of -$150 million to +$250 million which was provided to senior firm management (JP Morgan).</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 xml:space="preserve">It was not until after the Earnings Meeting – on April 13, 2012 – that the company realized the predictions were all wrong and “mean revert” was not going to happen. Messrs. </w:t>
      </w:r>
      <w:proofErr w:type="spellStart"/>
      <w:r w:rsidRPr="00DE0990">
        <w:rPr>
          <w:rFonts w:ascii="inherit" w:eastAsia="Times New Roman" w:hAnsi="inherit" w:cs="Arial"/>
          <w:color w:val="444444"/>
          <w:sz w:val="24"/>
          <w:szCs w:val="24"/>
        </w:rPr>
        <w:t>Dimon</w:t>
      </w:r>
      <w:proofErr w:type="spellEnd"/>
      <w:r w:rsidRPr="00DE0990">
        <w:rPr>
          <w:rFonts w:ascii="inherit" w:eastAsia="Times New Roman" w:hAnsi="inherit" w:cs="Arial"/>
          <w:color w:val="444444"/>
          <w:sz w:val="24"/>
          <w:szCs w:val="24"/>
        </w:rPr>
        <w:t xml:space="preserve">, </w:t>
      </w:r>
      <w:proofErr w:type="spellStart"/>
      <w:r w:rsidRPr="00DE0990">
        <w:rPr>
          <w:rFonts w:ascii="inherit" w:eastAsia="Times New Roman" w:hAnsi="inherit" w:cs="Arial"/>
          <w:color w:val="444444"/>
          <w:sz w:val="24"/>
          <w:szCs w:val="24"/>
        </w:rPr>
        <w:t>Braunstein</w:t>
      </w:r>
      <w:proofErr w:type="spellEnd"/>
      <w:r w:rsidRPr="00DE0990">
        <w:rPr>
          <w:rFonts w:ascii="inherit" w:eastAsia="Times New Roman" w:hAnsi="inherit" w:cs="Arial"/>
          <w:color w:val="444444"/>
          <w:sz w:val="24"/>
          <w:szCs w:val="24"/>
        </w:rPr>
        <w:t>, Hogan and Ms. Drew commissioned a thorough review of the Synthetic Credit Portfolio, conducted by personnel outside of Chief Investment Office, in order to better understand the losses it was experiencing and to know whether the Synthetic Credit Portfolio was properly managed.</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On April 26, 2012, Mr. Hogan directed senior members of firm-wide Market Risk to commence a position-by-position review of the Synthetic Credit Portfolio and eventually to take over the responsibility of for the Synthetic Credit Portfolio. (JP Morgan) The firm’s own review showed that the Synthetic Credit Portfolio was not protected against various market scenarios. In addition, they found that the market’s knowledge of the positions resulted in investors at other banks and hedge funds that were trading with JPMorgan to take advantage of the situation so a liquidity made risk reduction was not possible.</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Following the firm’s audit report, on May 10, 2012, the Firm disclosed that there were significant problems with the trading strategy for the Synthetic Credit Portfolio and the strategy was “flawed, complex, poorly reviewed, poorly executed, and poorly monitored.” (JP Morgan) The Firm disclosed that the Synthetic Credit Portfolio had incurred slightly more than $2 billion in mark-to-market losses up to that point in the second quarter, with the possibility of additional future losses and volatility.</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lastRenderedPageBreak/>
        <w:t>Accordingly, on July 13, 2012, the Firm restated its first-quarter net income after lowering it by $459 million. At the same time, the Firm that the cumulative year-to-date losses through June 30, 2012 had grown to approximately $5.8 billion.</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In this case, the bank was not alone at fault. The regulators overseeing the bank at the Treasury Department’s Office of the Comptroller of the Currency didn’t detect the risk accumulating in the Chief Investment Office’s synthetic-credit portfolio when it increased to a hundred and fifty-seven billion dollars, in the first quarter of 2012. The regulators should also have taken note when the risk profile of the Synthetic Credit Portfolio suddenly improved by fifty per cent.</w:t>
      </w:r>
    </w:p>
    <w:p w:rsidR="00DE0990" w:rsidRPr="00DE0990" w:rsidRDefault="00DE0990" w:rsidP="00DE0990">
      <w:pPr>
        <w:spacing w:after="300" w:line="546" w:lineRule="atLeast"/>
        <w:textAlignment w:val="baseline"/>
        <w:outlineLvl w:val="2"/>
        <w:rPr>
          <w:rFonts w:ascii="Arial" w:eastAsia="Times New Roman" w:hAnsi="Arial" w:cs="Arial"/>
          <w:color w:val="222222"/>
          <w:spacing w:val="-15"/>
          <w:sz w:val="42"/>
          <w:szCs w:val="42"/>
        </w:rPr>
      </w:pPr>
      <w:r w:rsidRPr="00DE0990">
        <w:rPr>
          <w:rFonts w:ascii="Arial" w:eastAsia="Times New Roman" w:hAnsi="Arial" w:cs="Arial"/>
          <w:b/>
          <w:bCs/>
          <w:color w:val="222222"/>
          <w:spacing w:val="-15"/>
          <w:sz w:val="42"/>
          <w:szCs w:val="42"/>
        </w:rPr>
        <w:t>The Penalties</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Following the incidents UK and U.S. Attorney’s Office opened official investigation into the matter. It was investigated whether the traders at JPMorgan’s Chief Investment Office in London intentionally inflated the value of their portfolio to conceal losses. Federal officials charged the responsible persons on five counts, including securities fraud, conspiracy, filing false books and records, wire fraud and making false filings with the U.S. Securities and Exchange Commission. (Hurtado)</w:t>
      </w:r>
    </w:p>
    <w:p w:rsidR="00DE0990" w:rsidRPr="00DE0990" w:rsidRDefault="00DE0990" w:rsidP="00DE0990">
      <w:pPr>
        <w:spacing w:after="525" w:line="348" w:lineRule="atLeast"/>
        <w:textAlignment w:val="baseline"/>
        <w:rPr>
          <w:rFonts w:ascii="inherit" w:eastAsia="Times New Roman" w:hAnsi="inherit" w:cs="Arial"/>
          <w:color w:val="444444"/>
          <w:sz w:val="24"/>
          <w:szCs w:val="24"/>
        </w:rPr>
      </w:pPr>
      <w:r w:rsidRPr="00DE0990">
        <w:rPr>
          <w:rFonts w:ascii="inherit" w:eastAsia="Times New Roman" w:hAnsi="inherit" w:cs="Arial"/>
          <w:color w:val="444444"/>
          <w:sz w:val="24"/>
          <w:szCs w:val="24"/>
        </w:rPr>
        <w:t>The bank agreed in September 2013 to pay $920 million to resolve related U.S. and U.K. probes into its internal controls and handling of the trades, which inflicted at least $6.2 billion in losses to the bank. The selling cited by the CFTC was a “manipulative device” that disregarded consequences to the broader market. And further on October 16, 2013, the bank agreed to a $100 million settlement with the Commodity Futures Trading Commission, which found that it had deployed a reckless trading strategy. Thus total amount of fines exceeded $1 billion (Brush).</w:t>
      </w:r>
    </w:p>
    <w:p w:rsidR="00154FC1" w:rsidRDefault="00DE0990">
      <w:r>
        <w:t xml:space="preserve">Source: </w:t>
      </w:r>
      <w:r w:rsidRPr="00DE0990">
        <w:t>https://financetrainingcourse.com/education/2014/04/london-whale-casestudy-timeline/</w:t>
      </w:r>
      <w:bookmarkStart w:id="0" w:name="_GoBack"/>
      <w:bookmarkEnd w:id="0"/>
    </w:p>
    <w:sectPr w:rsidR="00154FC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0990"/>
    <w:rsid w:val="00154FC1"/>
    <w:rsid w:val="00DE09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E0990"/>
    <w:pPr>
      <w:spacing w:before="100" w:beforeAutospacing="1" w:after="100" w:afterAutospacing="1" w:line="240" w:lineRule="auto"/>
      <w:outlineLvl w:val="1"/>
    </w:pPr>
    <w:rPr>
      <w:rFonts w:ascii="Tahoma" w:eastAsia="Times New Roman" w:hAnsi="Tahoma" w:cs="Tahoma"/>
      <w:b/>
      <w:bCs/>
      <w:sz w:val="36"/>
      <w:szCs w:val="36"/>
    </w:rPr>
  </w:style>
  <w:style w:type="paragraph" w:styleId="Heading3">
    <w:name w:val="heading 3"/>
    <w:basedOn w:val="Normal"/>
    <w:link w:val="Heading3Char"/>
    <w:uiPriority w:val="9"/>
    <w:qFormat/>
    <w:rsid w:val="00DE0990"/>
    <w:pPr>
      <w:spacing w:before="100" w:beforeAutospacing="1" w:after="100" w:afterAutospacing="1" w:line="240" w:lineRule="auto"/>
      <w:outlineLvl w:val="2"/>
    </w:pPr>
    <w:rPr>
      <w:rFonts w:ascii="Tahoma" w:eastAsia="Times New Roman" w:hAnsi="Tahoma" w:cs="Tahoma"/>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E0990"/>
    <w:rPr>
      <w:rFonts w:ascii="Tahoma" w:eastAsia="Times New Roman" w:hAnsi="Tahoma" w:cs="Tahoma"/>
      <w:b/>
      <w:bCs/>
      <w:sz w:val="36"/>
      <w:szCs w:val="36"/>
    </w:rPr>
  </w:style>
  <w:style w:type="character" w:customStyle="1" w:styleId="Heading3Char">
    <w:name w:val="Heading 3 Char"/>
    <w:basedOn w:val="DefaultParagraphFont"/>
    <w:link w:val="Heading3"/>
    <w:uiPriority w:val="9"/>
    <w:rsid w:val="00DE0990"/>
    <w:rPr>
      <w:rFonts w:ascii="Tahoma" w:eastAsia="Times New Roman" w:hAnsi="Tahoma" w:cs="Tahoma"/>
      <w:b/>
      <w:bCs/>
      <w:sz w:val="27"/>
      <w:szCs w:val="27"/>
    </w:rPr>
  </w:style>
  <w:style w:type="character" w:customStyle="1" w:styleId="detail">
    <w:name w:val="detail"/>
    <w:basedOn w:val="DefaultParagraphFont"/>
    <w:rsid w:val="00DE0990"/>
  </w:style>
  <w:style w:type="character" w:styleId="Emphasis">
    <w:name w:val="Emphasis"/>
    <w:basedOn w:val="DefaultParagraphFont"/>
    <w:uiPriority w:val="20"/>
    <w:qFormat/>
    <w:rsid w:val="00DE0990"/>
    <w:rPr>
      <w:i/>
      <w:iCs/>
    </w:rPr>
  </w:style>
  <w:style w:type="character" w:customStyle="1" w:styleId="apple-converted-space">
    <w:name w:val="apple-converted-space"/>
    <w:basedOn w:val="DefaultParagraphFont"/>
    <w:rsid w:val="00DE0990"/>
  </w:style>
  <w:style w:type="character" w:styleId="Hyperlink">
    <w:name w:val="Hyperlink"/>
    <w:basedOn w:val="DefaultParagraphFont"/>
    <w:uiPriority w:val="99"/>
    <w:semiHidden/>
    <w:unhideWhenUsed/>
    <w:rsid w:val="00DE0990"/>
    <w:rPr>
      <w:color w:val="0000FF"/>
      <w:u w:val="single"/>
    </w:rPr>
  </w:style>
  <w:style w:type="paragraph" w:styleId="NormalWeb">
    <w:name w:val="Normal (Web)"/>
    <w:basedOn w:val="Normal"/>
    <w:uiPriority w:val="99"/>
    <w:semiHidden/>
    <w:unhideWhenUsed/>
    <w:rsid w:val="00DE0990"/>
    <w:pPr>
      <w:spacing w:before="100" w:beforeAutospacing="1" w:after="100" w:afterAutospacing="1" w:line="240" w:lineRule="auto"/>
    </w:pPr>
    <w:rPr>
      <w:rFonts w:ascii="Tahoma" w:eastAsia="Times New Roman" w:hAnsi="Tahoma"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DE0990"/>
    <w:pPr>
      <w:spacing w:before="100" w:beforeAutospacing="1" w:after="100" w:afterAutospacing="1" w:line="240" w:lineRule="auto"/>
      <w:outlineLvl w:val="1"/>
    </w:pPr>
    <w:rPr>
      <w:rFonts w:ascii="Tahoma" w:eastAsia="Times New Roman" w:hAnsi="Tahoma" w:cs="Tahoma"/>
      <w:b/>
      <w:bCs/>
      <w:sz w:val="36"/>
      <w:szCs w:val="36"/>
    </w:rPr>
  </w:style>
  <w:style w:type="paragraph" w:styleId="Heading3">
    <w:name w:val="heading 3"/>
    <w:basedOn w:val="Normal"/>
    <w:link w:val="Heading3Char"/>
    <w:uiPriority w:val="9"/>
    <w:qFormat/>
    <w:rsid w:val="00DE0990"/>
    <w:pPr>
      <w:spacing w:before="100" w:beforeAutospacing="1" w:after="100" w:afterAutospacing="1" w:line="240" w:lineRule="auto"/>
      <w:outlineLvl w:val="2"/>
    </w:pPr>
    <w:rPr>
      <w:rFonts w:ascii="Tahoma" w:eastAsia="Times New Roman" w:hAnsi="Tahoma" w:cs="Tahoma"/>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E0990"/>
    <w:rPr>
      <w:rFonts w:ascii="Tahoma" w:eastAsia="Times New Roman" w:hAnsi="Tahoma" w:cs="Tahoma"/>
      <w:b/>
      <w:bCs/>
      <w:sz w:val="36"/>
      <w:szCs w:val="36"/>
    </w:rPr>
  </w:style>
  <w:style w:type="character" w:customStyle="1" w:styleId="Heading3Char">
    <w:name w:val="Heading 3 Char"/>
    <w:basedOn w:val="DefaultParagraphFont"/>
    <w:link w:val="Heading3"/>
    <w:uiPriority w:val="9"/>
    <w:rsid w:val="00DE0990"/>
    <w:rPr>
      <w:rFonts w:ascii="Tahoma" w:eastAsia="Times New Roman" w:hAnsi="Tahoma" w:cs="Tahoma"/>
      <w:b/>
      <w:bCs/>
      <w:sz w:val="27"/>
      <w:szCs w:val="27"/>
    </w:rPr>
  </w:style>
  <w:style w:type="character" w:customStyle="1" w:styleId="detail">
    <w:name w:val="detail"/>
    <w:basedOn w:val="DefaultParagraphFont"/>
    <w:rsid w:val="00DE0990"/>
  </w:style>
  <w:style w:type="character" w:styleId="Emphasis">
    <w:name w:val="Emphasis"/>
    <w:basedOn w:val="DefaultParagraphFont"/>
    <w:uiPriority w:val="20"/>
    <w:qFormat/>
    <w:rsid w:val="00DE0990"/>
    <w:rPr>
      <w:i/>
      <w:iCs/>
    </w:rPr>
  </w:style>
  <w:style w:type="character" w:customStyle="1" w:styleId="apple-converted-space">
    <w:name w:val="apple-converted-space"/>
    <w:basedOn w:val="DefaultParagraphFont"/>
    <w:rsid w:val="00DE0990"/>
  </w:style>
  <w:style w:type="character" w:styleId="Hyperlink">
    <w:name w:val="Hyperlink"/>
    <w:basedOn w:val="DefaultParagraphFont"/>
    <w:uiPriority w:val="99"/>
    <w:semiHidden/>
    <w:unhideWhenUsed/>
    <w:rsid w:val="00DE0990"/>
    <w:rPr>
      <w:color w:val="0000FF"/>
      <w:u w:val="single"/>
    </w:rPr>
  </w:style>
  <w:style w:type="paragraph" w:styleId="NormalWeb">
    <w:name w:val="Normal (Web)"/>
    <w:basedOn w:val="Normal"/>
    <w:uiPriority w:val="99"/>
    <w:semiHidden/>
    <w:unhideWhenUsed/>
    <w:rsid w:val="00DE0990"/>
    <w:pPr>
      <w:spacing w:before="100" w:beforeAutospacing="1" w:after="100" w:afterAutospacing="1" w:line="240" w:lineRule="auto"/>
    </w:pPr>
    <w:rPr>
      <w:rFonts w:ascii="Tahoma" w:eastAsia="Times New Rom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484920">
      <w:bodyDiv w:val="1"/>
      <w:marLeft w:val="0"/>
      <w:marRight w:val="0"/>
      <w:marTop w:val="0"/>
      <w:marBottom w:val="0"/>
      <w:divBdr>
        <w:top w:val="none" w:sz="0" w:space="0" w:color="auto"/>
        <w:left w:val="none" w:sz="0" w:space="0" w:color="auto"/>
        <w:bottom w:val="none" w:sz="0" w:space="0" w:color="auto"/>
        <w:right w:val="none" w:sz="0" w:space="0" w:color="auto"/>
      </w:divBdr>
      <w:divsChild>
        <w:div w:id="912161563">
          <w:marLeft w:val="0"/>
          <w:marRight w:val="0"/>
          <w:marTop w:val="0"/>
          <w:marBottom w:val="300"/>
          <w:divBdr>
            <w:top w:val="single" w:sz="36" w:space="26" w:color="E1E1E1"/>
            <w:left w:val="none" w:sz="0" w:space="0" w:color="E1E1E1"/>
            <w:bottom w:val="none" w:sz="0" w:space="0" w:color="E1E1E1"/>
            <w:right w:val="none" w:sz="0" w:space="0" w:color="E1E1E1"/>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financetrainingcourse.com/education/wp-content/uploads/2014/04/jpmorgan-logo.jp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financetrainingcourse.com/education/category/case-study/" TargetMode="External"/><Relationship Id="rId5" Type="http://schemas.openxmlformats.org/officeDocument/2006/relationships/hyperlink" Target="https://financetrainingcourse.com/education/author/farhan/"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1489</Words>
  <Characters>8490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ณัฐนันท์ บวรสันติสุทธิ์</dc:creator>
  <cp:lastModifiedBy>ณัฐนันท์ บวรสันติสุทธิ์</cp:lastModifiedBy>
  <cp:revision>1</cp:revision>
  <dcterms:created xsi:type="dcterms:W3CDTF">2016-07-04T08:32:00Z</dcterms:created>
  <dcterms:modified xsi:type="dcterms:W3CDTF">2016-07-04T08:33:00Z</dcterms:modified>
</cp:coreProperties>
</file>